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2533" w14:textId="77777777" w:rsidR="00C3376E" w:rsidRDefault="00C3376E" w:rsidP="00C3376E">
      <w:pPr>
        <w:pStyle w:val="Titolo3"/>
        <w:spacing w:before="91" w:line="369" w:lineRule="auto"/>
        <w:ind w:left="2620" w:right="2260" w:hanging="238"/>
        <w:jc w:val="left"/>
      </w:pPr>
      <w:r>
        <w:rPr>
          <w:color w:val="2E5395"/>
        </w:rPr>
        <w:t>PIANO NAZIONALE DI RIPRESA E RESILIENZA (PNRR)</w:t>
      </w:r>
      <w:r>
        <w:rPr>
          <w:color w:val="2E5395"/>
          <w:spacing w:val="-52"/>
        </w:rPr>
        <w:t xml:space="preserve"> </w:t>
      </w:r>
      <w:r>
        <w:rPr>
          <w:color w:val="2E5395"/>
        </w:rPr>
        <w:t>MISSIONE</w:t>
      </w:r>
      <w:r>
        <w:rPr>
          <w:color w:val="2E5395"/>
          <w:spacing w:val="-3"/>
        </w:rPr>
        <w:t xml:space="preserve"> </w:t>
      </w:r>
      <w:r>
        <w:rPr>
          <w:color w:val="2E5395"/>
        </w:rPr>
        <w:t>4</w:t>
      </w:r>
      <w:r>
        <w:rPr>
          <w:color w:val="2E5395"/>
          <w:spacing w:val="-1"/>
        </w:rPr>
        <w:t xml:space="preserve"> </w:t>
      </w:r>
      <w:r>
        <w:rPr>
          <w:color w:val="2E5395"/>
        </w:rPr>
        <w:t>COMPONENTE</w:t>
      </w:r>
      <w:r>
        <w:rPr>
          <w:color w:val="2E5395"/>
          <w:spacing w:val="-2"/>
        </w:rPr>
        <w:t xml:space="preserve"> </w:t>
      </w:r>
      <w:r>
        <w:rPr>
          <w:color w:val="2E5395"/>
        </w:rPr>
        <w:t>1</w:t>
      </w:r>
      <w:r>
        <w:rPr>
          <w:color w:val="2E5395"/>
          <w:spacing w:val="-1"/>
        </w:rPr>
        <w:t xml:space="preserve"> </w:t>
      </w:r>
      <w:r>
        <w:rPr>
          <w:color w:val="2E5395"/>
        </w:rPr>
        <w:t>INVESTIMENTO</w:t>
      </w:r>
      <w:r>
        <w:rPr>
          <w:color w:val="2E5395"/>
          <w:spacing w:val="-2"/>
        </w:rPr>
        <w:t xml:space="preserve"> </w:t>
      </w:r>
      <w:r>
        <w:rPr>
          <w:color w:val="2E5395"/>
        </w:rPr>
        <w:t>3.3</w:t>
      </w:r>
    </w:p>
    <w:p w14:paraId="1176C290" w14:textId="77777777" w:rsidR="00C3376E" w:rsidRDefault="00C3376E" w:rsidP="00C3376E">
      <w:pPr>
        <w:spacing w:line="249" w:lineRule="exact"/>
        <w:ind w:left="909" w:right="910"/>
        <w:jc w:val="center"/>
        <w:rPr>
          <w:b/>
          <w:i/>
          <w:color w:val="2E5395"/>
        </w:rPr>
      </w:pPr>
      <w:r>
        <w:rPr>
          <w:b/>
          <w:i/>
          <w:color w:val="2E5395"/>
        </w:rPr>
        <w:t>Finanziato</w:t>
      </w:r>
      <w:r>
        <w:rPr>
          <w:b/>
          <w:i/>
          <w:color w:val="2E5395"/>
          <w:spacing w:val="-5"/>
        </w:rPr>
        <w:t xml:space="preserve"> </w:t>
      </w:r>
      <w:r>
        <w:rPr>
          <w:b/>
          <w:i/>
          <w:color w:val="2E5395"/>
        </w:rPr>
        <w:t>dall’Unione</w:t>
      </w:r>
      <w:r>
        <w:rPr>
          <w:b/>
          <w:i/>
          <w:color w:val="2E5395"/>
          <w:spacing w:val="-2"/>
        </w:rPr>
        <w:t xml:space="preserve"> </w:t>
      </w:r>
      <w:r>
        <w:rPr>
          <w:b/>
          <w:i/>
          <w:color w:val="2E5395"/>
        </w:rPr>
        <w:t>Europea</w:t>
      </w:r>
      <w:r>
        <w:rPr>
          <w:b/>
          <w:i/>
          <w:color w:val="2E5395"/>
          <w:spacing w:val="-2"/>
        </w:rPr>
        <w:t xml:space="preserve"> </w:t>
      </w:r>
      <w:r>
        <w:rPr>
          <w:b/>
          <w:i/>
          <w:color w:val="2E5395"/>
        </w:rPr>
        <w:t>–</w:t>
      </w:r>
      <w:r>
        <w:rPr>
          <w:b/>
          <w:i/>
          <w:color w:val="2E5395"/>
          <w:spacing w:val="-2"/>
        </w:rPr>
        <w:t xml:space="preserve"> </w:t>
      </w:r>
      <w:proofErr w:type="spellStart"/>
      <w:r>
        <w:rPr>
          <w:b/>
          <w:i/>
          <w:color w:val="2E5395"/>
        </w:rPr>
        <w:t>Next</w:t>
      </w:r>
      <w:proofErr w:type="spellEnd"/>
      <w:r>
        <w:rPr>
          <w:b/>
          <w:i/>
          <w:color w:val="2E5395"/>
          <w:spacing w:val="-1"/>
        </w:rPr>
        <w:t xml:space="preserve"> </w:t>
      </w:r>
      <w:r>
        <w:rPr>
          <w:b/>
          <w:i/>
          <w:color w:val="2E5395"/>
        </w:rPr>
        <w:t>Generation</w:t>
      </w:r>
      <w:r>
        <w:rPr>
          <w:b/>
          <w:i/>
          <w:color w:val="2E5395"/>
          <w:spacing w:val="-4"/>
        </w:rPr>
        <w:t xml:space="preserve"> </w:t>
      </w:r>
      <w:r>
        <w:rPr>
          <w:b/>
          <w:i/>
          <w:color w:val="2E5395"/>
        </w:rPr>
        <w:t>EU</w:t>
      </w:r>
    </w:p>
    <w:p w14:paraId="1412C829" w14:textId="77777777" w:rsidR="00C3376E" w:rsidRDefault="00C3376E" w:rsidP="00C3376E">
      <w:pPr>
        <w:spacing w:line="249" w:lineRule="exact"/>
        <w:ind w:left="909" w:right="910"/>
        <w:jc w:val="center"/>
        <w:rPr>
          <w:b/>
          <w:i/>
        </w:rPr>
      </w:pPr>
      <w:r>
        <w:rPr>
          <w:noProof/>
        </w:rPr>
        <w:drawing>
          <wp:anchor distT="0" distB="0" distL="114300" distR="114300" simplePos="0" relativeHeight="251659264" behindDoc="0" locked="0" layoutInCell="1" allowOverlap="1" wp14:anchorId="2E7B7384" wp14:editId="510B56E2">
            <wp:simplePos x="0" y="0"/>
            <wp:positionH relativeFrom="margin">
              <wp:align>center</wp:align>
            </wp:positionH>
            <wp:positionV relativeFrom="paragraph">
              <wp:posOffset>202045</wp:posOffset>
            </wp:positionV>
            <wp:extent cx="4440540" cy="1299991"/>
            <wp:effectExtent l="0" t="0" r="0"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8847" t="24847" r="25445" b="46148"/>
                    <a:stretch/>
                  </pic:blipFill>
                  <pic:spPr bwMode="auto">
                    <a:xfrm>
                      <a:off x="0" y="0"/>
                      <a:ext cx="4440540" cy="12999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958910" w14:textId="77777777" w:rsidR="00C3376E" w:rsidRDefault="00C3376E" w:rsidP="00C3376E">
      <w:pPr>
        <w:pBdr>
          <w:bottom w:val="single" w:sz="4" w:space="1" w:color="auto"/>
        </w:pBdr>
        <w:contextualSpacing/>
        <w:rPr>
          <w:rFonts w:ascii="Calibri" w:hAnsi="Calibri"/>
          <w:b/>
          <w:sz w:val="24"/>
          <w:szCs w:val="24"/>
        </w:rPr>
      </w:pPr>
    </w:p>
    <w:p w14:paraId="16B7FF2F" w14:textId="77777777" w:rsidR="00C3376E" w:rsidRPr="00C8632A" w:rsidRDefault="00C3376E" w:rsidP="00C3376E">
      <w:pPr>
        <w:rPr>
          <w:rFonts w:ascii="Calibri" w:hAnsi="Calibri"/>
          <w:sz w:val="18"/>
          <w:szCs w:val="18"/>
        </w:rPr>
      </w:pPr>
    </w:p>
    <w:p w14:paraId="2BC575C8" w14:textId="77777777" w:rsidR="00C3376E" w:rsidRPr="00C8632A" w:rsidRDefault="00C3376E" w:rsidP="00C3376E">
      <w:pPr>
        <w:rPr>
          <w:rFonts w:ascii="Calibri" w:hAnsi="Calibri"/>
          <w:b/>
          <w:sz w:val="18"/>
          <w:szCs w:val="18"/>
        </w:rPr>
      </w:pPr>
      <w:r w:rsidRPr="00C8632A">
        <w:rPr>
          <w:rFonts w:ascii="Calibri" w:hAnsi="Calibri"/>
          <w:sz w:val="18"/>
          <w:szCs w:val="18"/>
        </w:rPr>
        <w:t xml:space="preserve"> </w:t>
      </w:r>
      <w:r w:rsidRPr="00C8632A">
        <w:rPr>
          <w:rFonts w:ascii="Calibri" w:hAnsi="Calibri"/>
          <w:b/>
          <w:sz w:val="18"/>
          <w:szCs w:val="18"/>
        </w:rPr>
        <w:t>UFFICIO TECNICO</w:t>
      </w:r>
    </w:p>
    <w:p w14:paraId="51444CFA" w14:textId="77777777" w:rsidR="00C3376E" w:rsidRDefault="00C3376E" w:rsidP="00C3376E">
      <w:pPr>
        <w:rPr>
          <w:rFonts w:ascii="Calibri" w:hAnsi="Calibri"/>
          <w:sz w:val="18"/>
          <w:szCs w:val="18"/>
        </w:rPr>
      </w:pPr>
      <w:r w:rsidRPr="00C8632A">
        <w:rPr>
          <w:rFonts w:ascii="Calibri" w:hAnsi="Calibri"/>
          <w:sz w:val="18"/>
          <w:szCs w:val="18"/>
        </w:rPr>
        <w:t xml:space="preserve">Area V </w:t>
      </w:r>
      <w:r>
        <w:rPr>
          <w:rFonts w:ascii="Calibri" w:hAnsi="Calibri"/>
          <w:sz w:val="18"/>
          <w:szCs w:val="18"/>
        </w:rPr>
        <w:t>LLPP</w:t>
      </w:r>
    </w:p>
    <w:p w14:paraId="4449EC0F" w14:textId="77777777" w:rsidR="00C3376E" w:rsidRDefault="00C3376E" w:rsidP="00C3376E">
      <w:pPr>
        <w:rPr>
          <w:rFonts w:ascii="Calibri" w:hAnsi="Calibri"/>
          <w:sz w:val="18"/>
          <w:szCs w:val="18"/>
        </w:rPr>
      </w:pPr>
      <w:r>
        <w:rPr>
          <w:rFonts w:ascii="Calibri" w:hAnsi="Calibri"/>
          <w:sz w:val="18"/>
          <w:szCs w:val="18"/>
        </w:rPr>
        <w:t>Responsabile del Servizio</w:t>
      </w:r>
    </w:p>
    <w:p w14:paraId="62F1E219" w14:textId="77777777" w:rsidR="00C3376E" w:rsidRPr="00C8632A" w:rsidRDefault="00C3376E" w:rsidP="00C3376E">
      <w:pPr>
        <w:rPr>
          <w:rFonts w:ascii="Calibri" w:hAnsi="Calibri"/>
          <w:sz w:val="18"/>
          <w:szCs w:val="18"/>
        </w:rPr>
      </w:pPr>
      <w:r>
        <w:rPr>
          <w:rFonts w:ascii="Calibri" w:hAnsi="Calibri"/>
          <w:sz w:val="18"/>
          <w:szCs w:val="18"/>
        </w:rPr>
        <w:t>Ing. Emanuela Marrocco</w:t>
      </w:r>
      <w:r w:rsidRPr="00C8632A">
        <w:rPr>
          <w:rFonts w:ascii="Calibri" w:hAnsi="Calibri"/>
          <w:sz w:val="18"/>
          <w:szCs w:val="18"/>
        </w:rPr>
        <w:t xml:space="preserve"> </w:t>
      </w:r>
    </w:p>
    <w:p w14:paraId="747BD370" w14:textId="77777777" w:rsidR="00C3376E" w:rsidRDefault="00C3376E" w:rsidP="00C3376E">
      <w:pPr>
        <w:rPr>
          <w:rFonts w:ascii="Calibri" w:hAnsi="Calibri"/>
          <w:sz w:val="18"/>
          <w:szCs w:val="18"/>
        </w:rPr>
      </w:pPr>
      <w:r w:rsidRPr="00C8632A">
        <w:rPr>
          <w:rFonts w:ascii="Calibri" w:hAnsi="Calibri"/>
          <w:sz w:val="18"/>
          <w:szCs w:val="18"/>
        </w:rPr>
        <w:t>Via Duca degli Abruzzi 15 </w:t>
      </w:r>
      <w:r w:rsidRPr="00C8632A">
        <w:rPr>
          <w:rFonts w:ascii="Calibri" w:hAnsi="Calibri"/>
          <w:sz w:val="18"/>
          <w:szCs w:val="18"/>
        </w:rPr>
        <w:br/>
        <w:t xml:space="preserve">tel. 0974.964073 </w:t>
      </w:r>
    </w:p>
    <w:p w14:paraId="4D6B6147" w14:textId="77777777" w:rsidR="00C3376E" w:rsidRPr="00C8632A" w:rsidRDefault="00C3376E" w:rsidP="00C3376E">
      <w:pPr>
        <w:rPr>
          <w:rFonts w:ascii="Calibri" w:hAnsi="Calibri" w:cs="Calibri"/>
          <w:sz w:val="18"/>
          <w:szCs w:val="18"/>
        </w:rPr>
      </w:pPr>
      <w:proofErr w:type="spellStart"/>
      <w:r w:rsidRPr="00C8632A">
        <w:rPr>
          <w:rFonts w:ascii="Calibri" w:hAnsi="Calibri" w:cs="Calibri"/>
          <w:sz w:val="18"/>
          <w:szCs w:val="18"/>
        </w:rPr>
        <w:t>e.mail</w:t>
      </w:r>
      <w:proofErr w:type="spellEnd"/>
      <w:r w:rsidRPr="00C8632A">
        <w:rPr>
          <w:rFonts w:ascii="Calibri" w:hAnsi="Calibri" w:cs="Calibri"/>
          <w:sz w:val="18"/>
          <w:szCs w:val="18"/>
        </w:rPr>
        <w:t xml:space="preserve">. </w:t>
      </w:r>
      <w:r>
        <w:rPr>
          <w:rStyle w:val="Collegamentoipertestuale"/>
          <w:rFonts w:ascii="Calibri" w:hAnsi="Calibri" w:cs="Calibri"/>
          <w:sz w:val="18"/>
          <w:szCs w:val="18"/>
        </w:rPr>
        <w:t>llppcomune.montecorce.sa.it</w:t>
      </w:r>
    </w:p>
    <w:p w14:paraId="2B7FC8B8" w14:textId="77777777" w:rsidR="00C3376E" w:rsidRPr="00C8632A" w:rsidRDefault="00C3376E" w:rsidP="00C3376E">
      <w:pPr>
        <w:rPr>
          <w:rFonts w:ascii="Calibri" w:hAnsi="Calibri" w:cs="Calibri"/>
          <w:sz w:val="18"/>
          <w:szCs w:val="18"/>
        </w:rPr>
      </w:pPr>
      <w:proofErr w:type="spellStart"/>
      <w:r w:rsidRPr="00C8632A">
        <w:rPr>
          <w:rFonts w:ascii="Calibri" w:hAnsi="Calibri" w:cs="Calibri"/>
          <w:sz w:val="18"/>
          <w:szCs w:val="18"/>
        </w:rPr>
        <w:t>pec</w:t>
      </w:r>
      <w:proofErr w:type="spellEnd"/>
      <w:r w:rsidRPr="00C8632A">
        <w:rPr>
          <w:rFonts w:ascii="Calibri" w:hAnsi="Calibri" w:cs="Calibri"/>
          <w:sz w:val="18"/>
          <w:szCs w:val="18"/>
        </w:rPr>
        <w:t xml:space="preserve">: </w:t>
      </w:r>
      <w:hyperlink r:id="rId9" w:history="1">
        <w:r w:rsidRPr="00D10DEC">
          <w:rPr>
            <w:rStyle w:val="Collegamentoipertestuale"/>
            <w:rFonts w:ascii="Calibri" w:hAnsi="Calibri" w:cs="Calibri"/>
            <w:sz w:val="18"/>
            <w:szCs w:val="18"/>
          </w:rPr>
          <w:t>llpp.montecorice@asmepec.it</w:t>
        </w:r>
      </w:hyperlink>
    </w:p>
    <w:p w14:paraId="60441235" w14:textId="77777777" w:rsidR="00C3376E" w:rsidRPr="00543199" w:rsidRDefault="00C3376E" w:rsidP="00C3376E">
      <w:pPr>
        <w:spacing w:line="240" w:lineRule="exact"/>
        <w:rPr>
          <w:rFonts w:ascii="Calibri" w:hAnsi="Calibri" w:cs="Calibri"/>
          <w:b/>
          <w:lang w:eastAsia="it-IT"/>
        </w:rPr>
      </w:pPr>
    </w:p>
    <w:p w14:paraId="30F33962" w14:textId="77777777" w:rsidR="00015CBE" w:rsidRPr="00902DD7" w:rsidRDefault="00015CBE" w:rsidP="00015CBE">
      <w:pPr>
        <w:widowControl w:val="0"/>
        <w:autoSpaceDE w:val="0"/>
        <w:autoSpaceDN w:val="0"/>
        <w:spacing w:after="0"/>
        <w:jc w:val="center"/>
        <w:rPr>
          <w:rFonts w:ascii="Book Antiqua" w:hAnsi="Book Antiqua" w:cs="Calibri Light"/>
          <w:b/>
          <w:bCs/>
          <w:lang w:val="en-US"/>
        </w:rPr>
      </w:pPr>
    </w:p>
    <w:tbl>
      <w:tblPr>
        <w:tblW w:w="9634" w:type="dxa"/>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9634"/>
      </w:tblGrid>
      <w:tr w:rsidR="00015CBE" w:rsidRPr="00902DD7" w14:paraId="2892736A" w14:textId="77777777" w:rsidTr="00015CBE">
        <w:tc>
          <w:tcPr>
            <w:tcW w:w="9634" w:type="dxa"/>
            <w:tcBorders>
              <w:top w:val="single" w:sz="4" w:space="0" w:color="4472C4"/>
              <w:left w:val="single" w:sz="4" w:space="0" w:color="4472C4"/>
              <w:bottom w:val="single" w:sz="4" w:space="0" w:color="4472C4"/>
              <w:right w:val="single" w:sz="4" w:space="0" w:color="4472C4"/>
            </w:tcBorders>
            <w:shd w:val="clear" w:color="auto" w:fill="4472C4"/>
          </w:tcPr>
          <w:p w14:paraId="4BFC493C" w14:textId="138572A7" w:rsidR="00015CBE" w:rsidRPr="00902DD7" w:rsidRDefault="00015CBE" w:rsidP="002501CD">
            <w:pPr>
              <w:ind w:left="22" w:right="57" w:hanging="11"/>
              <w:jc w:val="center"/>
              <w:rPr>
                <w:rFonts w:ascii="Book Antiqua" w:hAnsi="Book Antiqua" w:cs="Calibri Light"/>
                <w:b/>
                <w:bCs/>
                <w:color w:val="FFFFFF"/>
              </w:rPr>
            </w:pPr>
            <w:bookmarkStart w:id="0" w:name="_Hlk128659405"/>
            <w:r w:rsidRPr="00015CBE">
              <w:rPr>
                <w:rFonts w:ascii="Book Antiqua" w:hAnsi="Book Antiqua" w:cs="Calibri Light"/>
                <w:b/>
                <w:bCs/>
                <w:color w:val="FFFFFF"/>
              </w:rPr>
              <w:t xml:space="preserve">Allegato </w:t>
            </w:r>
            <w:proofErr w:type="gramStart"/>
            <w:r w:rsidRPr="00015CBE">
              <w:rPr>
                <w:rFonts w:ascii="Book Antiqua" w:hAnsi="Book Antiqua" w:cs="Calibri Light"/>
                <w:b/>
                <w:bCs/>
                <w:color w:val="FFFFFF"/>
              </w:rPr>
              <w:t>A  -</w:t>
            </w:r>
            <w:proofErr w:type="gramEnd"/>
            <w:r w:rsidRPr="00015CBE">
              <w:rPr>
                <w:rFonts w:ascii="Book Antiqua" w:hAnsi="Book Antiqua" w:cs="Calibri Light"/>
                <w:b/>
                <w:bCs/>
                <w:color w:val="FFFFFF"/>
              </w:rPr>
              <w:t xml:space="preserve">  Domanda di partecipazione</w:t>
            </w:r>
          </w:p>
        </w:tc>
      </w:tr>
      <w:tr w:rsidR="00015CBE" w:rsidRPr="00902DD7" w14:paraId="503C717A" w14:textId="77777777" w:rsidTr="00015CBE">
        <w:tc>
          <w:tcPr>
            <w:tcW w:w="9634" w:type="dxa"/>
            <w:shd w:val="clear" w:color="auto" w:fill="auto"/>
          </w:tcPr>
          <w:p w14:paraId="5DB889CA" w14:textId="77777777" w:rsidR="00FC43A0" w:rsidRDefault="00FC43A0" w:rsidP="00FC43A0">
            <w:pPr>
              <w:pStyle w:val="TableParagraph"/>
              <w:spacing w:before="1" w:line="300" w:lineRule="auto"/>
              <w:ind w:right="148"/>
              <w:jc w:val="both"/>
              <w:rPr>
                <w:rFonts w:ascii="Calibri" w:eastAsia="Calibri" w:hAnsi="Calibri" w:cs="Calibri"/>
              </w:rPr>
            </w:pPr>
          </w:p>
          <w:p w14:paraId="3B28F01C" w14:textId="3466903F" w:rsidR="00FC43A0" w:rsidRDefault="00FC43A0" w:rsidP="00FC43A0">
            <w:pPr>
              <w:pStyle w:val="TableParagraph"/>
              <w:spacing w:before="1" w:line="300" w:lineRule="auto"/>
              <w:ind w:left="131" w:right="148" w:hanging="10"/>
              <w:jc w:val="both"/>
              <w:rPr>
                <w:rFonts w:ascii="Calibri" w:eastAsia="Calibri" w:hAnsi="Calibri" w:cs="Calibri"/>
              </w:rPr>
            </w:pPr>
            <w:r>
              <w:rPr>
                <w:rFonts w:ascii="Calibri" w:eastAsia="Calibri" w:hAnsi="Calibri" w:cs="Calibri"/>
              </w:rPr>
              <w:t xml:space="preserve">GARA APERTA TELEMATICA PER L’INDIVIDUAZIONE DI OPERATORE ECONOMICO A CUI AFFIDARE L’ESECUZIONE DEI LAVORI DI </w:t>
            </w:r>
            <w:r w:rsidRPr="002A52E7">
              <w:rPr>
                <w:rFonts w:ascii="Calibri" w:eastAsia="Calibri" w:hAnsi="Calibri" w:cs="Calibri"/>
              </w:rPr>
              <w:t>“</w:t>
            </w:r>
            <w:r w:rsidRPr="0021487B">
              <w:rPr>
                <w:rFonts w:ascii="Calibri" w:eastAsia="Calibri" w:hAnsi="Calibri" w:cs="Calibri"/>
              </w:rPr>
              <w:t>RIQUALIFICAZIONE ARCHITETTONICA E FUNZIONALE E MESSA IN</w:t>
            </w:r>
            <w:r>
              <w:rPr>
                <w:rFonts w:ascii="Calibri" w:eastAsia="Calibri" w:hAnsi="Calibri" w:cs="Calibri"/>
              </w:rPr>
              <w:t xml:space="preserve"> </w:t>
            </w:r>
            <w:r w:rsidRPr="0021487B">
              <w:rPr>
                <w:rFonts w:ascii="Calibri" w:eastAsia="Calibri" w:hAnsi="Calibri" w:cs="Calibri"/>
              </w:rPr>
              <w:t>SICUREZZA DI MENSA SCOLASTICA ESISTENTE DEL PLESSO SCOLASTICO I.C. G.</w:t>
            </w:r>
            <w:r>
              <w:rPr>
                <w:rFonts w:ascii="Calibri" w:eastAsia="Calibri" w:hAnsi="Calibri" w:cs="Calibri"/>
              </w:rPr>
              <w:t xml:space="preserve"> </w:t>
            </w:r>
            <w:r w:rsidRPr="0021487B">
              <w:rPr>
                <w:rFonts w:ascii="Calibri" w:eastAsia="Calibri" w:hAnsi="Calibri" w:cs="Calibri"/>
              </w:rPr>
              <w:t>PATRONI DI POLLICA SA. CODICE MECCANOGRAFICO SAIC8BQ007 CODICE PES</w:t>
            </w:r>
            <w:r>
              <w:rPr>
                <w:rFonts w:ascii="Calibri" w:eastAsia="Calibri" w:hAnsi="Calibri" w:cs="Calibri"/>
              </w:rPr>
              <w:t xml:space="preserve"> </w:t>
            </w:r>
            <w:r w:rsidRPr="0021487B">
              <w:rPr>
                <w:rFonts w:ascii="Calibri" w:eastAsia="Calibri" w:hAnsi="Calibri" w:cs="Calibri"/>
              </w:rPr>
              <w:t>SAEE8BQ03B E SAMM8BQ029</w:t>
            </w:r>
            <w:r w:rsidRPr="002A52E7">
              <w:rPr>
                <w:rFonts w:ascii="Calibri" w:eastAsia="Calibri" w:hAnsi="Calibri" w:cs="Calibri"/>
              </w:rPr>
              <w:t>” AI SENSI DELL’ART. 17 COMMA 1 DEL D.LGS. 36/2023</w:t>
            </w:r>
            <w:r>
              <w:rPr>
                <w:rFonts w:ascii="Calibri" w:eastAsia="Calibri" w:hAnsi="Calibri" w:cs="Calibri"/>
              </w:rPr>
              <w:t xml:space="preserve"> e </w:t>
            </w:r>
            <w:proofErr w:type="spellStart"/>
            <w:r>
              <w:rPr>
                <w:rFonts w:ascii="Calibri" w:eastAsia="Calibri" w:hAnsi="Calibri" w:cs="Calibri"/>
              </w:rPr>
              <w:t>ss.mm.ii</w:t>
            </w:r>
            <w:proofErr w:type="spellEnd"/>
            <w:r>
              <w:rPr>
                <w:rFonts w:ascii="Calibri" w:eastAsia="Calibri" w:hAnsi="Calibri" w:cs="Calibri"/>
              </w:rPr>
              <w:t>.</w:t>
            </w:r>
            <w:r w:rsidRPr="002A52E7">
              <w:rPr>
                <w:rFonts w:ascii="Calibri" w:eastAsia="Calibri" w:hAnsi="Calibri" w:cs="Calibri"/>
              </w:rPr>
              <w:t xml:space="preserve"> </w:t>
            </w:r>
          </w:p>
          <w:p w14:paraId="67A56C66" w14:textId="0B8B0079" w:rsidR="00015CBE" w:rsidRPr="00015CBE" w:rsidRDefault="00FC43A0" w:rsidP="00FC43A0">
            <w:pPr>
              <w:ind w:left="993" w:right="57" w:hanging="993"/>
              <w:jc w:val="both"/>
              <w:rPr>
                <w:rFonts w:ascii="Book Antiqua" w:hAnsi="Book Antiqua" w:cs="Calibri Light"/>
                <w:highlight w:val="yellow"/>
              </w:rPr>
            </w:pPr>
            <w:r>
              <w:rPr>
                <w:b/>
                <w:i/>
                <w:color w:val="2E5395"/>
              </w:rPr>
              <w:t>FINANZIATO</w:t>
            </w:r>
            <w:r>
              <w:rPr>
                <w:b/>
                <w:i/>
                <w:color w:val="2E5395"/>
                <w:spacing w:val="-3"/>
              </w:rPr>
              <w:t xml:space="preserve"> </w:t>
            </w:r>
            <w:r>
              <w:rPr>
                <w:b/>
                <w:i/>
                <w:color w:val="2E5395"/>
              </w:rPr>
              <w:t>DALL’UE</w:t>
            </w:r>
            <w:r>
              <w:rPr>
                <w:b/>
                <w:i/>
                <w:color w:val="2E5395"/>
                <w:spacing w:val="-3"/>
              </w:rPr>
              <w:t xml:space="preserve"> </w:t>
            </w:r>
            <w:r>
              <w:rPr>
                <w:b/>
                <w:i/>
                <w:color w:val="2E5395"/>
              </w:rPr>
              <w:t>–</w:t>
            </w:r>
            <w:r>
              <w:rPr>
                <w:b/>
                <w:i/>
                <w:color w:val="2E5395"/>
                <w:spacing w:val="-2"/>
              </w:rPr>
              <w:t xml:space="preserve"> </w:t>
            </w:r>
            <w:r>
              <w:rPr>
                <w:b/>
                <w:i/>
                <w:color w:val="2E5395"/>
              </w:rPr>
              <w:t>PNRR</w:t>
            </w:r>
            <w:r>
              <w:rPr>
                <w:b/>
                <w:i/>
                <w:color w:val="2E5395"/>
                <w:spacing w:val="-3"/>
              </w:rPr>
              <w:t xml:space="preserve"> </w:t>
            </w:r>
            <w:r>
              <w:rPr>
                <w:b/>
                <w:i/>
                <w:color w:val="2E5395"/>
              </w:rPr>
              <w:t>–</w:t>
            </w:r>
            <w:r>
              <w:rPr>
                <w:b/>
                <w:i/>
                <w:color w:val="2E5395"/>
                <w:spacing w:val="-2"/>
              </w:rPr>
              <w:t xml:space="preserve"> </w:t>
            </w:r>
            <w:r>
              <w:rPr>
                <w:b/>
                <w:i/>
                <w:color w:val="2E5395"/>
              </w:rPr>
              <w:t>MISSIONE</w:t>
            </w:r>
            <w:r>
              <w:rPr>
                <w:b/>
                <w:i/>
                <w:color w:val="2E5395"/>
                <w:spacing w:val="-2"/>
              </w:rPr>
              <w:t xml:space="preserve"> </w:t>
            </w:r>
            <w:r>
              <w:rPr>
                <w:b/>
                <w:i/>
                <w:color w:val="2E5395"/>
              </w:rPr>
              <w:t>4</w:t>
            </w:r>
            <w:r>
              <w:rPr>
                <w:b/>
                <w:i/>
                <w:color w:val="2E5395"/>
                <w:spacing w:val="-2"/>
              </w:rPr>
              <w:t xml:space="preserve"> </w:t>
            </w:r>
            <w:r>
              <w:rPr>
                <w:b/>
                <w:i/>
                <w:color w:val="2E5395"/>
              </w:rPr>
              <w:t>COMPONENTE</w:t>
            </w:r>
            <w:r>
              <w:rPr>
                <w:b/>
                <w:i/>
                <w:color w:val="2E5395"/>
                <w:spacing w:val="-3"/>
              </w:rPr>
              <w:t xml:space="preserve"> </w:t>
            </w:r>
            <w:r>
              <w:rPr>
                <w:b/>
                <w:i/>
                <w:color w:val="2E5395"/>
              </w:rPr>
              <w:t>1</w:t>
            </w:r>
            <w:r>
              <w:rPr>
                <w:b/>
                <w:i/>
                <w:color w:val="2E5395"/>
                <w:spacing w:val="-2"/>
              </w:rPr>
              <w:t xml:space="preserve"> </w:t>
            </w:r>
            <w:r>
              <w:rPr>
                <w:b/>
                <w:i/>
                <w:color w:val="2E5395"/>
              </w:rPr>
              <w:t>INVESTIMENTO</w:t>
            </w:r>
            <w:r>
              <w:rPr>
                <w:b/>
                <w:i/>
                <w:color w:val="2E5395"/>
                <w:spacing w:val="-3"/>
              </w:rPr>
              <w:t xml:space="preserve"> </w:t>
            </w:r>
            <w:r>
              <w:rPr>
                <w:b/>
                <w:i/>
                <w:color w:val="2E5395"/>
              </w:rPr>
              <w:t>1.2</w:t>
            </w:r>
          </w:p>
        </w:tc>
      </w:tr>
      <w:tr w:rsidR="00015CBE" w:rsidRPr="00902DD7" w14:paraId="015BB490" w14:textId="77777777" w:rsidTr="00015CBE">
        <w:trPr>
          <w:trHeight w:val="333"/>
        </w:trPr>
        <w:tc>
          <w:tcPr>
            <w:tcW w:w="9634" w:type="dxa"/>
            <w:shd w:val="clear" w:color="auto" w:fill="D9E2F3"/>
          </w:tcPr>
          <w:p w14:paraId="39DA28CB" w14:textId="673A1CFC" w:rsidR="00015CBE" w:rsidRPr="00902DD7" w:rsidRDefault="00FC43A0" w:rsidP="002501CD">
            <w:pPr>
              <w:spacing w:after="70"/>
              <w:ind w:right="57" w:hanging="11"/>
              <w:jc w:val="center"/>
              <w:rPr>
                <w:rFonts w:ascii="Book Antiqua" w:eastAsia="Calibri" w:hAnsi="Book Antiqua" w:cs="Calibri Light"/>
                <w:b/>
                <w:bCs/>
                <w:color w:val="000000"/>
                <w:lang w:eastAsia="it-IT"/>
              </w:rPr>
            </w:pPr>
            <w:r>
              <w:rPr>
                <w:b/>
              </w:rPr>
              <w:t>CUP:</w:t>
            </w:r>
            <w:r>
              <w:rPr>
                <w:b/>
                <w:spacing w:val="1"/>
              </w:rPr>
              <w:t xml:space="preserve"> </w:t>
            </w:r>
            <w:r w:rsidRPr="00BA2914">
              <w:rPr>
                <w:b/>
                <w:spacing w:val="-2"/>
              </w:rPr>
              <w:t>E58H24000550006</w:t>
            </w:r>
            <w:r>
              <w:rPr>
                <w:rFonts w:ascii="Book Antiqua" w:hAnsi="Book Antiqua" w:cs="Calibri Light"/>
                <w:b/>
                <w:bCs/>
              </w:rPr>
              <w:t xml:space="preserve"> </w:t>
            </w:r>
            <w:bookmarkStart w:id="1" w:name="_GoBack"/>
            <w:bookmarkEnd w:id="1"/>
          </w:p>
        </w:tc>
      </w:tr>
      <w:bookmarkEnd w:id="0"/>
    </w:tbl>
    <w:p w14:paraId="514C99CE" w14:textId="77777777" w:rsidR="00015CBE" w:rsidRDefault="00015CBE" w:rsidP="00015CBE">
      <w:pPr>
        <w:pStyle w:val="Indice"/>
        <w:jc w:val="center"/>
        <w:rPr>
          <w:b/>
          <w:bCs/>
        </w:rPr>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lastRenderedPageBreak/>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015CBE">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015CBE">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015CBE">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015CBE">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57985BC8" w:rsidR="00C41162" w:rsidRPr="006533B7" w:rsidRDefault="00184306" w:rsidP="00A718A5">
      <w:pPr>
        <w:jc w:val="both"/>
        <w:rPr>
          <w:i/>
          <w:sz w:val="20"/>
          <w:szCs w:val="20"/>
        </w:rPr>
      </w:pPr>
      <w:r w:rsidRPr="006533B7">
        <w:rPr>
          <w:i/>
          <w:sz w:val="20"/>
          <w:szCs w:val="20"/>
        </w:rPr>
        <w:t xml:space="preserve"> (Compilare soltanto i campi di interesse</w:t>
      </w:r>
      <w:r w:rsidR="00015CBE">
        <w:rPr>
          <w:i/>
          <w:sz w:val="20"/>
          <w:szCs w:val="20"/>
        </w:rPr>
        <w:t xml:space="preserve"> e barrare quelli non di interesse</w:t>
      </w:r>
      <w:r w:rsidRPr="006533B7">
        <w:rPr>
          <w:i/>
          <w:sz w:val="20"/>
          <w:szCs w:val="20"/>
        </w:rPr>
        <w:t>)</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lastRenderedPageBreak/>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0B26B216"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 Dichiarazioni in caso di servizi/forniture di cui ai settori sensibili ex art 1, comma 53 della l. 190/2012 </w:t>
      </w:r>
    </w:p>
    <w:p w14:paraId="56D6BF75" w14:textId="2835A85E" w:rsidR="00C41162" w:rsidRPr="006533B7" w:rsidRDefault="00184306" w:rsidP="00CD57A3">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 xml:space="preserve">List) della Prefettura di </w:t>
      </w:r>
      <w:r w:rsidR="00CD57A3">
        <w:rPr>
          <w:sz w:val="20"/>
          <w:szCs w:val="20"/>
        </w:rPr>
        <w:t>…………</w:t>
      </w:r>
    </w:p>
    <w:p w14:paraId="077BCA11" w14:textId="07823E06"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 xml:space="preserve">ist) della Prefettura di </w:t>
      </w:r>
      <w:r w:rsidR="00CD57A3">
        <w:rPr>
          <w:sz w:val="20"/>
          <w:szCs w:val="20"/>
        </w:rPr>
        <w:t>……………</w:t>
      </w:r>
    </w:p>
    <w:p w14:paraId="3303AA7F" w14:textId="77777777" w:rsidR="00C41162" w:rsidRPr="006533B7" w:rsidRDefault="00C41162" w:rsidP="00BF1D89">
      <w:pPr>
        <w:pStyle w:val="Paragrafoelenco"/>
        <w:ind w:left="284" w:hanging="284"/>
        <w:jc w:val="both"/>
        <w:rPr>
          <w:sz w:val="20"/>
          <w:szCs w:val="20"/>
        </w:rPr>
      </w:pPr>
    </w:p>
    <w:p w14:paraId="415BD3CA" w14:textId="57CBF333" w:rsidR="00C41162" w:rsidRPr="00015CBE" w:rsidRDefault="00184306" w:rsidP="00015CBE">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2F69BE3C" w:rsidR="00C41162" w:rsidRPr="006533B7" w:rsidRDefault="00184306" w:rsidP="00015CBE">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w:t>
      </w:r>
      <w:r w:rsidR="00015CBE">
        <w:rPr>
          <w:sz w:val="20"/>
          <w:szCs w:val="20"/>
        </w:rPr>
        <w:t>sa tra il Comune di Montecorice e la Prefettura di Salerno</w:t>
      </w:r>
      <w:r w:rsidRPr="006533B7">
        <w:rPr>
          <w:sz w:val="20"/>
          <w:szCs w:val="20"/>
        </w:rPr>
        <w:t xml:space="preserve"> </w:t>
      </w:r>
      <w:r w:rsidR="00015CBE">
        <w:rPr>
          <w:sz w:val="20"/>
          <w:szCs w:val="20"/>
        </w:rPr>
        <w:t xml:space="preserve">del </w:t>
      </w:r>
      <w:r w:rsidR="00015CBE" w:rsidRPr="00015CBE">
        <w:rPr>
          <w:sz w:val="20"/>
          <w:szCs w:val="20"/>
        </w:rPr>
        <w:t>23.03.2011</w:t>
      </w:r>
      <w:r w:rsidR="00015CBE">
        <w:rPr>
          <w:sz w:val="20"/>
          <w:szCs w:val="20"/>
        </w:rPr>
        <w:t>;</w:t>
      </w:r>
    </w:p>
    <w:p w14:paraId="282520ED" w14:textId="37434B4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10" w:history="1">
        <w:r w:rsidR="00015CBE" w:rsidRPr="00013AE3">
          <w:rPr>
            <w:rStyle w:val="Collegamentoipertestuale"/>
            <w:sz w:val="20"/>
            <w:szCs w:val="20"/>
          </w:rPr>
          <w:t>https://www.comune.montecorice.sa.it/</w:t>
        </w:r>
      </w:hyperlink>
      <w:r w:rsidR="00015CBE">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3EBF7E55" w:rsidR="00C41162" w:rsidRPr="006533B7" w:rsidRDefault="00184306" w:rsidP="00015CBE">
      <w:pPr>
        <w:ind w:left="284"/>
        <w:jc w:val="both"/>
        <w:rPr>
          <w:sz w:val="20"/>
          <w:szCs w:val="20"/>
        </w:rPr>
      </w:pPr>
      <w:r w:rsidRPr="006533B7">
        <w:rPr>
          <w:i/>
          <w:sz w:val="20"/>
          <w:szCs w:val="20"/>
        </w:rPr>
        <w:t xml:space="preserve"> </w:t>
      </w: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C68E7">
      <w:pPr>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015CBE" w:rsidRDefault="0063020D" w:rsidP="0063020D">
      <w:pPr>
        <w:ind w:left="284"/>
        <w:jc w:val="both"/>
        <w:rPr>
          <w:i/>
          <w:iCs/>
          <w:sz w:val="20"/>
          <w:szCs w:val="20"/>
        </w:rPr>
      </w:pPr>
      <w:r w:rsidRPr="00CD57A3">
        <w:rPr>
          <w:i/>
          <w:iCs/>
          <w:sz w:val="20"/>
          <w:szCs w:val="20"/>
        </w:rPr>
        <w:t>o in alternativa</w:t>
      </w:r>
    </w:p>
    <w:p w14:paraId="6D9BAE4C" w14:textId="77777777" w:rsidR="0063020D" w:rsidRPr="0063020D" w:rsidRDefault="0063020D" w:rsidP="0063020D">
      <w:pPr>
        <w:ind w:left="284"/>
        <w:jc w:val="both"/>
        <w:rPr>
          <w:sz w:val="20"/>
          <w:szCs w:val="20"/>
        </w:rPr>
      </w:pPr>
      <w:r w:rsidRPr="0063020D">
        <w:rPr>
          <w:sz w:val="20"/>
          <w:szCs w:val="20"/>
        </w:rPr>
        <w:t>▪ [di applicare al proprio personale il seguente CCNL</w:t>
      </w:r>
      <w:proofErr w:type="gramStart"/>
      <w:r w:rsidRPr="0063020D">
        <w:rPr>
          <w:sz w:val="20"/>
          <w:szCs w:val="20"/>
        </w:rPr>
        <w:t xml:space="preserve"> ….</w:t>
      </w:r>
      <w:proofErr w:type="gramEnd"/>
      <w:r w:rsidRPr="0063020D">
        <w:rPr>
          <w:sz w:val="20"/>
          <w:szCs w:val="20"/>
        </w:rPr>
        <w:t>. …………………</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610A498F" w:rsidR="0063020D" w:rsidRPr="0063020D" w:rsidRDefault="0063020D" w:rsidP="0063020D">
      <w:pPr>
        <w:ind w:left="284"/>
        <w:jc w:val="both"/>
        <w:rPr>
          <w:sz w:val="20"/>
          <w:szCs w:val="20"/>
        </w:rPr>
      </w:pPr>
      <w:r w:rsidRPr="0063020D">
        <w:rPr>
          <w:sz w:val="20"/>
          <w:szCs w:val="20"/>
        </w:rPr>
        <w:t>▪ [di applicare al proprio personale il seguente CCNL ……………………</w:t>
      </w:r>
      <w:r w:rsidR="00015CBE">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3316B896" w14:textId="77777777" w:rsidR="00C41162" w:rsidRPr="006533B7" w:rsidRDefault="00184306" w:rsidP="00BF1D89">
      <w:pPr>
        <w:jc w:val="both"/>
        <w:rPr>
          <w:i/>
          <w:sz w:val="20"/>
          <w:szCs w:val="20"/>
        </w:rPr>
      </w:pPr>
      <w:r w:rsidRPr="00CD57A3">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lastRenderedPageBreak/>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78113B9" w:rsidR="00C41162"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EE42BE1" w14:textId="27E4B253" w:rsidR="000D54FB" w:rsidRPr="000D54FB" w:rsidRDefault="000D54FB" w:rsidP="000D54FB">
      <w:pPr>
        <w:suppressAutoHyphens w:val="0"/>
        <w:autoSpaceDE w:val="0"/>
        <w:autoSpaceDN w:val="0"/>
        <w:adjustRightInd w:val="0"/>
        <w:spacing w:after="0" w:line="240" w:lineRule="auto"/>
        <w:rPr>
          <w:rFonts w:ascii="TimesNewRoman" w:hAnsi="TimesNewRoman" w:cs="TimesNewRoman"/>
        </w:rPr>
      </w:pPr>
      <w:r w:rsidRPr="000D54FB">
        <w:rPr>
          <w:rFonts w:ascii="TimesNewRoman" w:hAnsi="TimesNewRoman" w:cs="TimesNewRoman"/>
          <w:b/>
        </w:rPr>
        <w:t>di accettare</w:t>
      </w:r>
      <w:r w:rsidRPr="000D54FB">
        <w:rPr>
          <w:rFonts w:ascii="TimesNewRoman" w:hAnsi="TimesNewRoman" w:cs="TimesNewRoman"/>
        </w:rPr>
        <w:t>, senza condizione o riserva alcuna, tutte le norme e disposizioni contenute nella documentazione gara;</w:t>
      </w:r>
    </w:p>
    <w:p w14:paraId="638E9221" w14:textId="6F88F5F8" w:rsidR="000D54FB" w:rsidRPr="000D54FB" w:rsidRDefault="000D54FB" w:rsidP="000D54FB">
      <w:pPr>
        <w:suppressAutoHyphens w:val="0"/>
        <w:autoSpaceDE w:val="0"/>
        <w:autoSpaceDN w:val="0"/>
        <w:adjustRightInd w:val="0"/>
        <w:spacing w:after="0" w:line="240" w:lineRule="auto"/>
        <w:jc w:val="both"/>
        <w:rPr>
          <w:rFonts w:cstheme="minorHAnsi"/>
        </w:rPr>
      </w:pPr>
    </w:p>
    <w:p w14:paraId="28724A72" w14:textId="12251932"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b/>
        </w:rPr>
        <w:t>di comunicare che</w:t>
      </w:r>
      <w:r w:rsidRPr="000D54FB">
        <w:rPr>
          <w:rFonts w:cstheme="minorHAnsi"/>
        </w:rPr>
        <w:t xml:space="preserve"> il CCNL applicato al personale dipendente impiegato nell’appalto con l’indicazione del relativo codice alfanumerico unico di cui all’articolo 16 quater del decreto legge 76/20 è _____: ___________________________________________________________- CCNL ______________</w:t>
      </w:r>
    </w:p>
    <w:p w14:paraId="7D20CF47"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439ECF9B" w14:textId="2B9E90AC" w:rsidR="000D54FB" w:rsidRPr="000D54FB" w:rsidRDefault="000D54FB" w:rsidP="000D54FB">
      <w:pPr>
        <w:suppressAutoHyphens w:val="0"/>
        <w:autoSpaceDE w:val="0"/>
        <w:autoSpaceDN w:val="0"/>
        <w:adjustRightInd w:val="0"/>
        <w:spacing w:after="0" w:line="240" w:lineRule="auto"/>
        <w:jc w:val="both"/>
        <w:rPr>
          <w:rFonts w:cstheme="minorHAnsi"/>
          <w:i/>
          <w:iCs/>
        </w:rPr>
      </w:pPr>
      <w:r w:rsidRPr="000D54FB">
        <w:rPr>
          <w:rFonts w:cstheme="minorHAnsi"/>
          <w:b/>
        </w:rPr>
        <w:t>di garantire</w:t>
      </w:r>
      <w:r w:rsidRPr="000D54FB">
        <w:rPr>
          <w:rFonts w:cstheme="minorHAnsi"/>
        </w:rPr>
        <w:t>, la stabilità occupazionale del personale impiegato</w:t>
      </w:r>
      <w:r w:rsidRPr="000D54FB">
        <w:rPr>
          <w:rFonts w:cstheme="minorHAnsi"/>
          <w:i/>
          <w:iCs/>
        </w:rPr>
        <w:t>;</w:t>
      </w:r>
    </w:p>
    <w:p w14:paraId="3E8F3F21" w14:textId="5BBF1B55" w:rsidR="000D54FB" w:rsidRPr="000D54FB" w:rsidRDefault="000D54FB" w:rsidP="000D54FB">
      <w:pPr>
        <w:suppressAutoHyphens w:val="0"/>
        <w:autoSpaceDE w:val="0"/>
        <w:autoSpaceDN w:val="0"/>
        <w:adjustRightInd w:val="0"/>
        <w:spacing w:after="0" w:line="240" w:lineRule="auto"/>
        <w:jc w:val="both"/>
        <w:rPr>
          <w:rFonts w:cstheme="minorHAnsi"/>
          <w:b/>
          <w:bCs/>
          <w:i/>
          <w:iCs/>
        </w:rPr>
      </w:pPr>
      <w:r w:rsidRPr="000D54FB">
        <w:rPr>
          <w:rFonts w:cstheme="minorHAnsi"/>
          <w:b/>
          <w:bCs/>
          <w:i/>
          <w:iCs/>
        </w:rPr>
        <w:t>PNRR:</w:t>
      </w:r>
    </w:p>
    <w:p w14:paraId="1875BC51" w14:textId="08002F7F"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rPr>
        <w:t>Che il numero di dipendenti impiegati alla data di presentazione della domanda è __________;</w:t>
      </w:r>
    </w:p>
    <w:p w14:paraId="4FD616D7"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09FBC9A6" w14:textId="5584E4E4"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rPr>
        <w:t xml:space="preserve">di essere o </w:t>
      </w:r>
      <w:proofErr w:type="gramStart"/>
      <w:r w:rsidRPr="000D54FB">
        <w:rPr>
          <w:rFonts w:cstheme="minorHAnsi"/>
        </w:rPr>
        <w:t>non  essere</w:t>
      </w:r>
      <w:proofErr w:type="gramEnd"/>
      <w:r w:rsidRPr="000D54FB">
        <w:rPr>
          <w:rFonts w:cstheme="minorHAnsi"/>
        </w:rPr>
        <w:t xml:space="preserve"> assoggettato agli obblighi di cui alla legge n. 68/1999 in quanto il numero dei dipendenti è inferiore o superiore a quello previsto da norme di legge;</w:t>
      </w:r>
    </w:p>
    <w:p w14:paraId="6CF7F451" w14:textId="2346991C"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rPr>
        <w:t>di non essere incorso nell’interdizione automatica per inadempimento dell’obbligo di consegnare alla stazione appaltante, entro sei mesi dalla conclusione del contratto, la relazione di genere di cui all’articolo 47, comma 3, del decreto legge n. 77/2022;</w:t>
      </w:r>
    </w:p>
    <w:p w14:paraId="4B883718"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63AECB92" w14:textId="3803B81D" w:rsidR="000D54FB" w:rsidRPr="000D54FB" w:rsidRDefault="000D54FB" w:rsidP="000D54FB">
      <w:pPr>
        <w:suppressAutoHyphens w:val="0"/>
        <w:autoSpaceDE w:val="0"/>
        <w:autoSpaceDN w:val="0"/>
        <w:adjustRightInd w:val="0"/>
        <w:spacing w:after="0" w:line="240" w:lineRule="auto"/>
        <w:jc w:val="both"/>
        <w:rPr>
          <w:rFonts w:cstheme="minorHAnsi"/>
          <w:b/>
          <w:bCs/>
        </w:rPr>
      </w:pPr>
      <w:r w:rsidRPr="000D54FB">
        <w:rPr>
          <w:rFonts w:cstheme="minorHAnsi"/>
          <w:b/>
        </w:rPr>
        <w:t>d</w:t>
      </w:r>
      <w:r w:rsidRPr="000D54FB">
        <w:rPr>
          <w:rFonts w:cstheme="minorHAnsi"/>
          <w:b/>
          <w:bCs/>
        </w:rPr>
        <w:t>i assumersi l’obbligo, in caso di aggiudicazione del contratto, di assicurare all’occupazione giovanile una quota di 30 % e a quella femminile una quota di 30 % delle assunzioni necessarie per l'esecuzione del contratto o per la realizzazione di attività ad esso connesse o strumentali;</w:t>
      </w:r>
    </w:p>
    <w:p w14:paraId="0E1B66F2"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21EA8BEE" w14:textId="7A961484"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b/>
        </w:rPr>
        <w:t>di essere</w:t>
      </w:r>
      <w:r w:rsidRPr="000D54FB">
        <w:rPr>
          <w:rFonts w:cstheme="minorHAnsi"/>
        </w:rPr>
        <w:t xml:space="preserv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14:paraId="78DDC474"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28623458" w14:textId="4FF90861"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b/>
        </w:rPr>
        <w:t>di aver preso</w:t>
      </w:r>
      <w:r w:rsidRPr="000D54FB">
        <w:rPr>
          <w:rFonts w:cstheme="minorHAnsi"/>
        </w:rPr>
        <w:t xml:space="preserve"> visione e di accettare il trattamento dei dati personali di cui di cui al Regolamento UE n. 2016/679.</w:t>
      </w:r>
    </w:p>
    <w:p w14:paraId="272F9D8E"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22ED10CA" w14:textId="701C55CE" w:rsidR="000D54FB"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b/>
        </w:rPr>
        <w:t>di assumere</w:t>
      </w:r>
      <w:r w:rsidRPr="000D54FB">
        <w:rPr>
          <w:rFonts w:cstheme="minorHAnsi"/>
        </w:rPr>
        <w:t xml:space="preserve"> l’obbligo di rispettare ogni disposizione impartita in attuazione del PNRR per la gestione, controllo e valutazione della misura, ivi inclusi l’obbligo del rispetto del principio di non arrecare un danno significativo all’ambiente (DNSH, “Do no significante </w:t>
      </w:r>
      <w:proofErr w:type="spellStart"/>
      <w:r w:rsidRPr="000D54FB">
        <w:rPr>
          <w:rFonts w:cstheme="minorHAnsi"/>
        </w:rPr>
        <w:t>harm</w:t>
      </w:r>
      <w:proofErr w:type="spellEnd"/>
      <w:r w:rsidRPr="000D54FB">
        <w:rPr>
          <w:rFonts w:cstheme="minorHAnsi"/>
        </w:rPr>
        <w:t xml:space="preserve">”) incardinato all’articolo 17 del Regolamento (UE) 2020/852, impegnandosi ad </w:t>
      </w:r>
      <w:proofErr w:type="spellStart"/>
      <w:r w:rsidRPr="000D54FB">
        <w:rPr>
          <w:rFonts w:cstheme="minorHAnsi"/>
        </w:rPr>
        <w:t>adepiere</w:t>
      </w:r>
      <w:proofErr w:type="spellEnd"/>
      <w:r w:rsidRPr="000D54FB">
        <w:rPr>
          <w:rFonts w:cstheme="minorHAnsi"/>
        </w:rPr>
        <w:t xml:space="preserve"> anche a quanto previsto nella Relazione sul DNSH allegata al progetto, integrandola se ritenuto opportuno con le misure necessarie ad adempiere agli obblighi del PNRR;</w:t>
      </w:r>
    </w:p>
    <w:p w14:paraId="1BF01ACB" w14:textId="77777777" w:rsidR="000D54FB" w:rsidRPr="000D54FB" w:rsidRDefault="000D54FB" w:rsidP="000D54FB">
      <w:pPr>
        <w:suppressAutoHyphens w:val="0"/>
        <w:autoSpaceDE w:val="0"/>
        <w:autoSpaceDN w:val="0"/>
        <w:adjustRightInd w:val="0"/>
        <w:spacing w:after="0" w:line="240" w:lineRule="auto"/>
        <w:jc w:val="both"/>
        <w:rPr>
          <w:rFonts w:cstheme="minorHAnsi"/>
        </w:rPr>
      </w:pPr>
    </w:p>
    <w:p w14:paraId="565C1D19" w14:textId="08B99019" w:rsidR="00AE357E" w:rsidRPr="000D54FB" w:rsidRDefault="000D54FB" w:rsidP="000D54FB">
      <w:pPr>
        <w:suppressAutoHyphens w:val="0"/>
        <w:autoSpaceDE w:val="0"/>
        <w:autoSpaceDN w:val="0"/>
        <w:adjustRightInd w:val="0"/>
        <w:spacing w:after="0" w:line="240" w:lineRule="auto"/>
        <w:jc w:val="both"/>
        <w:rPr>
          <w:rFonts w:cstheme="minorHAnsi"/>
        </w:rPr>
      </w:pPr>
      <w:r w:rsidRPr="000D54FB">
        <w:rPr>
          <w:rFonts w:cstheme="minorHAnsi"/>
          <w:b/>
        </w:rPr>
        <w:t>di aver preso</w:t>
      </w:r>
      <w:r w:rsidRPr="000D54FB">
        <w:rPr>
          <w:rFonts w:cstheme="minorHAnsi"/>
        </w:rPr>
        <w:t xml:space="preserve"> visione e di essere consapevole di quanto nella documentazione progettuale in merito al rispetto dei Criteri Ambientali Minimi (CAM);</w:t>
      </w:r>
    </w:p>
    <w:p w14:paraId="77BC4FE8" w14:textId="77777777" w:rsidR="000D54FB" w:rsidRPr="000D54FB" w:rsidRDefault="000D54FB" w:rsidP="000D54FB">
      <w:pPr>
        <w:suppressAutoHyphens w:val="0"/>
        <w:autoSpaceDE w:val="0"/>
        <w:autoSpaceDN w:val="0"/>
        <w:adjustRightInd w:val="0"/>
        <w:spacing w:after="0" w:line="240" w:lineRule="auto"/>
        <w:jc w:val="both"/>
        <w:rPr>
          <w:rFonts w:cstheme="minorHAnsi"/>
          <w:sz w:val="20"/>
          <w:szCs w:val="20"/>
        </w:rPr>
      </w:pPr>
    </w:p>
    <w:p w14:paraId="28956353" w14:textId="67CE56F9"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0D54FB" w:rsidRDefault="00184306" w:rsidP="000D54FB">
      <w:pPr>
        <w:jc w:val="both"/>
        <w:rPr>
          <w:b/>
          <w:bCs/>
          <w:color w:val="4472C4" w:themeColor="accent5"/>
          <w:sz w:val="20"/>
          <w:szCs w:val="20"/>
        </w:rPr>
      </w:pPr>
      <w:r w:rsidRPr="000D54FB">
        <w:rPr>
          <w:b/>
          <w:bCs/>
          <w:color w:val="4472C4" w:themeColor="accent5"/>
          <w:sz w:val="20"/>
          <w:szCs w:val="20"/>
        </w:rPr>
        <w:t>Autorizzazioni e ulteriori dichiarazioni ai fini dell’accesso, delle comunicazioni e del trattamento dei dati</w:t>
      </w:r>
    </w:p>
    <w:p w14:paraId="16703960" w14:textId="7A19E17A" w:rsidR="00C41162" w:rsidRPr="006533B7" w:rsidRDefault="00184306" w:rsidP="009E46B4">
      <w:pPr>
        <w:ind w:left="284" w:hanging="284"/>
        <w:jc w:val="both"/>
        <w:rPr>
          <w:sz w:val="20"/>
          <w:szCs w:val="20"/>
        </w:rPr>
      </w:pP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lastRenderedPageBreak/>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1DFB19D2" w14:textId="77777777" w:rsidR="00C41162" w:rsidRPr="006533B7" w:rsidRDefault="00C41162">
      <w:pPr>
        <w:spacing w:before="60" w:after="60"/>
        <w:rPr>
          <w:sz w:val="20"/>
          <w:szCs w:val="20"/>
        </w:rPr>
      </w:pPr>
    </w:p>
    <w:p w14:paraId="76FD0702" w14:textId="28498D33" w:rsidR="00AE357E" w:rsidRPr="00CD57A3" w:rsidRDefault="00AE357E" w:rsidP="00AE357E">
      <w:pPr>
        <w:keepNext/>
        <w:suppressAutoHyphens w:val="0"/>
        <w:spacing w:before="60" w:after="60"/>
        <w:ind w:right="140"/>
        <w:jc w:val="both"/>
        <w:rPr>
          <w:rFonts w:ascii="Titillium Web" w:hAnsi="Titillium Web" w:cs="Garamond-Italic"/>
          <w:iCs/>
          <w:u w:val="single"/>
        </w:rPr>
      </w:pPr>
      <w:r w:rsidRPr="00CD57A3">
        <w:rPr>
          <w:rFonts w:ascii="Titillium Web" w:hAnsi="Titillium Web" w:cs="Garamond-Italic"/>
          <w:iCs/>
          <w:u w:val="single"/>
        </w:rPr>
        <w:t>N.B. L’OPERATORE DEVE INTEGRARE IL PRESENTE MODELLO CON LE DICHIARAZIONI RICHIESTE NEL DISCIPLINARE DI GARA E DALLA NORMATIVA VIGENTE RELATIVA.</w:t>
      </w:r>
    </w:p>
    <w:p w14:paraId="6402C2DF" w14:textId="1060D224" w:rsidR="00AE357E" w:rsidRPr="006533B7" w:rsidRDefault="00AE357E" w:rsidP="00AE357E">
      <w:pPr>
        <w:ind w:right="140" w:hanging="284"/>
        <w:jc w:val="both"/>
        <w:rPr>
          <w:sz w:val="20"/>
          <w:szCs w:val="20"/>
        </w:rPr>
      </w:pPr>
      <w:r w:rsidRPr="00DF2087">
        <w:rPr>
          <w:sz w:val="20"/>
          <w:szCs w:val="20"/>
        </w:rPr>
        <w:tab/>
      </w:r>
      <w:bookmarkStart w:id="2" w:name="_Hlk146812156"/>
      <w:r w:rsidRPr="00DF2087">
        <w:rPr>
          <w:rFonts w:ascii="Titillium Web" w:hAnsi="Titillium Web"/>
          <w:b/>
          <w:bCs/>
          <w:iCs/>
          <w:u w:val="single"/>
        </w:rPr>
        <w:t xml:space="preserve">(In caso di raggruppamento temporaneo e/o consorzio e/o aggregazione di imprese: presentare un modello per ciascun operatore economico raggruppato e/o consorziato e/o </w:t>
      </w:r>
      <w:proofErr w:type="gramStart"/>
      <w:r w:rsidRPr="00DF2087">
        <w:rPr>
          <w:rFonts w:ascii="Titillium Web" w:hAnsi="Titillium Web"/>
          <w:b/>
          <w:bCs/>
          <w:iCs/>
          <w:u w:val="single"/>
        </w:rPr>
        <w:t>aggregato )</w:t>
      </w:r>
      <w:bookmarkEnd w:id="2"/>
      <w:proofErr w:type="gramEnd"/>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015CBE">
      <w:headerReference w:type="default" r:id="rId11"/>
      <w:footerReference w:type="default" r:id="rId12"/>
      <w:pgSz w:w="11906" w:h="16838"/>
      <w:pgMar w:top="993" w:right="1134" w:bottom="1134" w:left="1134" w:header="708" w:footer="42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288BE" w14:textId="77777777" w:rsidR="00012F42" w:rsidRDefault="00012F42">
      <w:pPr>
        <w:spacing w:after="0" w:line="240" w:lineRule="auto"/>
      </w:pPr>
      <w:r>
        <w:separator/>
      </w:r>
    </w:p>
  </w:endnote>
  <w:endnote w:type="continuationSeparator" w:id="0">
    <w:p w14:paraId="1CEBF221" w14:textId="77777777" w:rsidR="00012F42" w:rsidRDefault="00012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itillium Web">
    <w:altName w:val="Calibri"/>
    <w:charset w:val="00"/>
    <w:family w:val="auto"/>
    <w:pitch w:val="variable"/>
    <w:sig w:usb0="00000007" w:usb1="00000001" w:usb2="00000000" w:usb3="00000000" w:csb0="00000093" w:csb1="00000000"/>
  </w:font>
  <w:font w:name="Garamond-Italic">
    <w:altName w:val="Garamon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305899"/>
      <w:docPartObj>
        <w:docPartGallery w:val="Page Numbers (Bottom of Page)"/>
        <w:docPartUnique/>
      </w:docPartObj>
    </w:sdtPr>
    <w:sdtEndPr/>
    <w:sdtContent>
      <w:p w14:paraId="47A7BA03" w14:textId="2DA1B336" w:rsidR="00015CBE" w:rsidRDefault="00015CBE">
        <w:pPr>
          <w:pStyle w:val="Pidipagina"/>
          <w:jc w:val="right"/>
        </w:pPr>
        <w:r>
          <w:fldChar w:fldCharType="begin"/>
        </w:r>
        <w:r>
          <w:instrText>PAGE   \* MERGEFORMAT</w:instrText>
        </w:r>
        <w:r>
          <w:fldChar w:fldCharType="separate"/>
        </w:r>
        <w:r>
          <w:t>2</w:t>
        </w:r>
        <w:r>
          <w:fldChar w:fldCharType="end"/>
        </w:r>
      </w:p>
    </w:sdtContent>
  </w:sdt>
  <w:p w14:paraId="4310B28C" w14:textId="77777777" w:rsidR="00015CBE" w:rsidRDefault="00015C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13146" w14:textId="77777777" w:rsidR="00012F42" w:rsidRDefault="00012F42">
      <w:pPr>
        <w:rPr>
          <w:sz w:val="12"/>
        </w:rPr>
      </w:pPr>
      <w:r>
        <w:separator/>
      </w:r>
    </w:p>
  </w:footnote>
  <w:footnote w:type="continuationSeparator" w:id="0">
    <w:p w14:paraId="2C055CDE" w14:textId="77777777" w:rsidR="00012F42" w:rsidRDefault="00012F42">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7" w:type="dxa"/>
      <w:jc w:val="center"/>
      <w:tblLayout w:type="fixed"/>
      <w:tblCellMar>
        <w:left w:w="113" w:type="dxa"/>
      </w:tblCellMar>
      <w:tblLook w:val="04A0" w:firstRow="1" w:lastRow="0" w:firstColumn="1" w:lastColumn="0" w:noHBand="0" w:noVBand="1"/>
    </w:tblPr>
    <w:tblGrid>
      <w:gridCol w:w="2547"/>
      <w:gridCol w:w="5719"/>
      <w:gridCol w:w="2361"/>
    </w:tblGrid>
    <w:tr w:rsidR="00015CBE" w:rsidRPr="00015CBE" w14:paraId="4AE9C8DA" w14:textId="77777777" w:rsidTr="002501CD">
      <w:trPr>
        <w:cantSplit/>
        <w:trHeight w:val="1691"/>
        <w:jc w:val="center"/>
      </w:trPr>
      <w:tc>
        <w:tcPr>
          <w:tcW w:w="2547"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7F1F478C" w14:textId="77777777" w:rsidR="00015CBE" w:rsidRPr="00015CBE" w:rsidRDefault="00015CBE" w:rsidP="00015CBE">
          <w:pPr>
            <w:suppressAutoHyphens w:val="0"/>
            <w:spacing w:after="0" w:line="240" w:lineRule="auto"/>
            <w:rPr>
              <w:rFonts w:ascii="Book Antiqua" w:eastAsia="Times New Roman" w:hAnsi="Book Antiqua" w:cs="Calibri"/>
              <w:sz w:val="2"/>
              <w:szCs w:val="6"/>
            </w:rPr>
          </w:pPr>
          <w:bookmarkStart w:id="3" w:name="_Hlk128647754"/>
        </w:p>
        <w:p w14:paraId="6E08CCBA" w14:textId="5810D362" w:rsidR="00015CBE" w:rsidRPr="00015CBE" w:rsidRDefault="00015CBE" w:rsidP="00015CBE">
          <w:pPr>
            <w:suppressAutoHyphens w:val="0"/>
            <w:spacing w:after="0" w:line="240" w:lineRule="auto"/>
            <w:rPr>
              <w:rFonts w:ascii="Book Antiqua" w:eastAsia="Times New Roman" w:hAnsi="Book Antiqua" w:cs="Calibri"/>
              <w:sz w:val="16"/>
              <w:szCs w:val="20"/>
            </w:rPr>
          </w:pPr>
          <w:r w:rsidRPr="00015CBE">
            <w:rPr>
              <w:rFonts w:ascii="Book Antiqua" w:eastAsia="Times New Roman" w:hAnsi="Book Antiqua" w:cs="Calibri"/>
              <w:noProof/>
              <w:sz w:val="16"/>
              <w:szCs w:val="20"/>
            </w:rPr>
            <w:drawing>
              <wp:inline distT="0" distB="0" distL="0" distR="0" wp14:anchorId="74B49B87" wp14:editId="006FB21E">
                <wp:extent cx="1466850" cy="1028700"/>
                <wp:effectExtent l="0" t="0" r="0" b="0"/>
                <wp:docPr id="3568895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1028700"/>
                        </a:xfrm>
                        <a:prstGeom prst="rect">
                          <a:avLst/>
                        </a:prstGeom>
                        <a:noFill/>
                        <a:ln>
                          <a:noFill/>
                        </a:ln>
                      </pic:spPr>
                    </pic:pic>
                  </a:graphicData>
                </a:graphic>
              </wp:inline>
            </w:drawing>
          </w:r>
        </w:p>
      </w:tc>
      <w:tc>
        <w:tcPr>
          <w:tcW w:w="5719" w:type="dxa"/>
          <w:tcBorders>
            <w:top w:val="single" w:sz="4" w:space="0" w:color="00000A"/>
            <w:left w:val="single" w:sz="4" w:space="0" w:color="00000A"/>
            <w:bottom w:val="single" w:sz="4" w:space="0" w:color="00000A"/>
            <w:right w:val="single" w:sz="4" w:space="0" w:color="00000A"/>
          </w:tcBorders>
          <w:shd w:val="clear" w:color="auto" w:fill="FFFFFF"/>
        </w:tcPr>
        <w:p w14:paraId="62A2F9F9" w14:textId="77777777" w:rsidR="00015CBE" w:rsidRPr="00015CBE" w:rsidRDefault="00015CBE" w:rsidP="00015CBE">
          <w:pPr>
            <w:suppressAutoHyphens w:val="0"/>
            <w:spacing w:after="0" w:line="240" w:lineRule="auto"/>
            <w:jc w:val="center"/>
            <w:rPr>
              <w:rFonts w:ascii="Book Antiqua" w:eastAsia="Batang" w:hAnsi="Book Antiqua" w:cs="Calibri"/>
              <w:szCs w:val="24"/>
            </w:rPr>
          </w:pPr>
        </w:p>
        <w:p w14:paraId="215CAFC8" w14:textId="77777777" w:rsidR="00015CBE" w:rsidRPr="00015CBE" w:rsidRDefault="00015CBE" w:rsidP="00015CBE">
          <w:pPr>
            <w:suppressAutoHyphens w:val="0"/>
            <w:spacing w:after="0" w:line="240" w:lineRule="auto"/>
            <w:jc w:val="center"/>
            <w:rPr>
              <w:rFonts w:ascii="Book Antiqua" w:eastAsia="Batang" w:hAnsi="Book Antiqua" w:cs="Calibri"/>
              <w:b/>
              <w:bCs/>
              <w:sz w:val="28"/>
              <w:szCs w:val="32"/>
            </w:rPr>
          </w:pPr>
          <w:r w:rsidRPr="00015CBE">
            <w:rPr>
              <w:rFonts w:ascii="Book Antiqua" w:eastAsia="Batang" w:hAnsi="Book Antiqua" w:cs="Calibri"/>
              <w:b/>
              <w:bCs/>
              <w:sz w:val="28"/>
              <w:szCs w:val="32"/>
            </w:rPr>
            <w:t>COMUNE DI MONTECORICE</w:t>
          </w:r>
        </w:p>
        <w:p w14:paraId="7BD05BD4"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V. Duca degli Abruzzi 15 Montecorice (SA) - 84060</w:t>
          </w:r>
        </w:p>
        <w:p w14:paraId="035FBB7F"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segreteria.montecorice@asmepec.it</w:t>
          </w:r>
        </w:p>
        <w:p w14:paraId="0AA8A4C6" w14:textId="77777777" w:rsidR="00015CBE" w:rsidRPr="00015CBE" w:rsidRDefault="00015CBE" w:rsidP="00015CBE">
          <w:pPr>
            <w:suppressAutoHyphens w:val="0"/>
            <w:spacing w:after="0" w:line="240" w:lineRule="auto"/>
            <w:jc w:val="center"/>
            <w:rPr>
              <w:rFonts w:ascii="Book Antiqua" w:eastAsia="Times New Roman" w:hAnsi="Book Antiqua" w:cs="Calibri"/>
              <w:szCs w:val="24"/>
              <w:u w:val="single"/>
            </w:rPr>
          </w:pPr>
          <w:r w:rsidRPr="00015CBE">
            <w:rPr>
              <w:rFonts w:ascii="Book Antiqua" w:eastAsia="Batang" w:hAnsi="Book Antiqua" w:cs="Calibri"/>
              <w:szCs w:val="24"/>
            </w:rPr>
            <w:t>https://www.comune.montecorice.sa.it/</w:t>
          </w:r>
        </w:p>
      </w:tc>
      <w:tc>
        <w:tcPr>
          <w:tcW w:w="2361" w:type="dxa"/>
          <w:tcBorders>
            <w:top w:val="single" w:sz="4" w:space="0" w:color="00000A"/>
            <w:left w:val="single" w:sz="4" w:space="0" w:color="00000A"/>
            <w:bottom w:val="single" w:sz="4" w:space="0" w:color="00000A"/>
            <w:right w:val="single" w:sz="4" w:space="0" w:color="00000A"/>
          </w:tcBorders>
          <w:shd w:val="clear" w:color="auto" w:fill="FFFFFF"/>
        </w:tcPr>
        <w:p w14:paraId="02C5E4CC" w14:textId="77777777" w:rsidR="00015CBE" w:rsidRPr="00015CBE" w:rsidRDefault="00015CBE" w:rsidP="00015CBE">
          <w:pPr>
            <w:suppressAutoHyphens w:val="0"/>
            <w:spacing w:after="0" w:line="240" w:lineRule="auto"/>
            <w:ind w:left="33"/>
            <w:jc w:val="center"/>
            <w:rPr>
              <w:rFonts w:ascii="Book Antiqua" w:eastAsia="Times New Roman" w:hAnsi="Book Antiqua" w:cs="Calibri"/>
              <w:sz w:val="20"/>
              <w:szCs w:val="14"/>
              <w:highlight w:val="yellow"/>
            </w:rPr>
          </w:pPr>
          <w:r w:rsidRPr="00015CBE">
            <w:rPr>
              <w:rFonts w:ascii="Book Antiqua" w:eastAsia="Times New Roman" w:hAnsi="Book Antiqua" w:cs="Calibri"/>
              <w:b/>
              <w:bCs/>
              <w:sz w:val="20"/>
              <w:szCs w:val="14"/>
            </w:rPr>
            <w:t>COMUNE DI</w:t>
          </w:r>
        </w:p>
        <w:p w14:paraId="78BB0C20" w14:textId="77777777" w:rsid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Garamond" w:eastAsia="Times New Roman" w:hAnsi="Garamond" w:cs="Calibri"/>
              <w:noProof/>
              <w:sz w:val="24"/>
              <w:szCs w:val="24"/>
            </w:rPr>
            <w:drawing>
              <wp:inline distT="0" distB="0" distL="0" distR="0" wp14:anchorId="4FBF7604" wp14:editId="5269F683">
                <wp:extent cx="676275" cy="742950"/>
                <wp:effectExtent l="0" t="0" r="9525" b="0"/>
                <wp:docPr id="2029256971" name="Immagine 3" descr="Comune di Monteco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mune di Montecori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r w:rsidRPr="00015CBE">
            <w:rPr>
              <w:rFonts w:ascii="Book Antiqua" w:eastAsia="Times New Roman" w:hAnsi="Book Antiqua" w:cs="Calibri"/>
              <w:b/>
              <w:bCs/>
              <w:sz w:val="20"/>
              <w:szCs w:val="14"/>
            </w:rPr>
            <w:t xml:space="preserve"> </w:t>
          </w:r>
        </w:p>
        <w:p w14:paraId="7CE727AB" w14:textId="57732E10" w:rsidR="00015CBE" w:rsidRP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Book Antiqua" w:eastAsia="Times New Roman" w:hAnsi="Book Antiqua" w:cs="Calibri"/>
              <w:b/>
              <w:bCs/>
              <w:sz w:val="20"/>
              <w:szCs w:val="14"/>
            </w:rPr>
            <w:t>MONTECORICE</w:t>
          </w:r>
        </w:p>
      </w:tc>
    </w:tr>
    <w:bookmarkEnd w:id="3"/>
  </w:tbl>
  <w:p w14:paraId="5562BE29" w14:textId="77777777" w:rsidR="00C41162" w:rsidRDefault="00C41162" w:rsidP="00015CBE">
    <w:pPr>
      <w:pStyle w:val="Intestazione"/>
      <w:tabs>
        <w:tab w:val="left" w:pos="255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4ACB"/>
    <w:rsid w:val="00012F42"/>
    <w:rsid w:val="00015CBE"/>
    <w:rsid w:val="000805C3"/>
    <w:rsid w:val="000D54FB"/>
    <w:rsid w:val="000E5869"/>
    <w:rsid w:val="00112F75"/>
    <w:rsid w:val="00141B8D"/>
    <w:rsid w:val="00176A5B"/>
    <w:rsid w:val="00184306"/>
    <w:rsid w:val="001D24C1"/>
    <w:rsid w:val="00283235"/>
    <w:rsid w:val="002A377A"/>
    <w:rsid w:val="00345201"/>
    <w:rsid w:val="00432C93"/>
    <w:rsid w:val="00482016"/>
    <w:rsid w:val="00500F41"/>
    <w:rsid w:val="0055337A"/>
    <w:rsid w:val="006026A2"/>
    <w:rsid w:val="00602EEE"/>
    <w:rsid w:val="0061282C"/>
    <w:rsid w:val="0063020D"/>
    <w:rsid w:val="006533B7"/>
    <w:rsid w:val="0066102F"/>
    <w:rsid w:val="00684A7A"/>
    <w:rsid w:val="0069625E"/>
    <w:rsid w:val="006C68E7"/>
    <w:rsid w:val="00711165"/>
    <w:rsid w:val="00806F1A"/>
    <w:rsid w:val="00942E88"/>
    <w:rsid w:val="009B5141"/>
    <w:rsid w:val="009E46B4"/>
    <w:rsid w:val="00A718A5"/>
    <w:rsid w:val="00A77071"/>
    <w:rsid w:val="00A90636"/>
    <w:rsid w:val="00AE357E"/>
    <w:rsid w:val="00B7690A"/>
    <w:rsid w:val="00BF1D89"/>
    <w:rsid w:val="00BF4C0F"/>
    <w:rsid w:val="00C3376E"/>
    <w:rsid w:val="00C41162"/>
    <w:rsid w:val="00C616E2"/>
    <w:rsid w:val="00CC6DE0"/>
    <w:rsid w:val="00CD57A3"/>
    <w:rsid w:val="00D64103"/>
    <w:rsid w:val="00D778F8"/>
    <w:rsid w:val="00DA6D6E"/>
    <w:rsid w:val="00DD2513"/>
    <w:rsid w:val="00DF4EDE"/>
    <w:rsid w:val="00F05ACD"/>
    <w:rsid w:val="00F14397"/>
    <w:rsid w:val="00F27E15"/>
    <w:rsid w:val="00F66B18"/>
    <w:rsid w:val="00FC43A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paragraph" w:styleId="Titolo3">
    <w:name w:val="heading 3"/>
    <w:basedOn w:val="Normale"/>
    <w:link w:val="Titolo3Carattere"/>
    <w:uiPriority w:val="9"/>
    <w:unhideWhenUsed/>
    <w:qFormat/>
    <w:rsid w:val="00C3376E"/>
    <w:pPr>
      <w:widowControl w:val="0"/>
      <w:suppressAutoHyphens w:val="0"/>
      <w:autoSpaceDE w:val="0"/>
      <w:autoSpaceDN w:val="0"/>
      <w:spacing w:after="0" w:line="240" w:lineRule="auto"/>
      <w:ind w:left="323"/>
      <w:jc w:val="center"/>
      <w:outlineLvl w:val="2"/>
    </w:pPr>
    <w:rPr>
      <w:rFonts w:ascii="Times New Roman" w:eastAsia="Times New Roman" w:hAnsi="Times New Roman" w:cs="Times New Roman"/>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15CBE"/>
    <w:rPr>
      <w:color w:val="0563C1" w:themeColor="hyperlink"/>
      <w:u w:val="single"/>
    </w:rPr>
  </w:style>
  <w:style w:type="character" w:styleId="Menzionenonrisolta">
    <w:name w:val="Unresolved Mention"/>
    <w:basedOn w:val="Carpredefinitoparagrafo"/>
    <w:uiPriority w:val="99"/>
    <w:semiHidden/>
    <w:unhideWhenUsed/>
    <w:rsid w:val="00015CBE"/>
    <w:rPr>
      <w:color w:val="605E5C"/>
      <w:shd w:val="clear" w:color="auto" w:fill="E1DFDD"/>
    </w:rPr>
  </w:style>
  <w:style w:type="paragraph" w:customStyle="1" w:styleId="TableParagraph">
    <w:name w:val="Table Paragraph"/>
    <w:basedOn w:val="Normale"/>
    <w:uiPriority w:val="1"/>
    <w:qFormat/>
    <w:rsid w:val="00FC43A0"/>
    <w:pPr>
      <w:widowControl w:val="0"/>
      <w:suppressAutoHyphens w:val="0"/>
      <w:autoSpaceDE w:val="0"/>
      <w:autoSpaceDN w:val="0"/>
      <w:spacing w:after="0" w:line="240" w:lineRule="auto"/>
    </w:pPr>
    <w:rPr>
      <w:rFonts w:ascii="Times New Roman" w:eastAsia="Times New Roman" w:hAnsi="Times New Roman" w:cs="Times New Roman"/>
    </w:rPr>
  </w:style>
  <w:style w:type="character" w:customStyle="1" w:styleId="Titolo3Carattere">
    <w:name w:val="Titolo 3 Carattere"/>
    <w:basedOn w:val="Carpredefinitoparagrafo"/>
    <w:link w:val="Titolo3"/>
    <w:uiPriority w:val="9"/>
    <w:rsid w:val="00C3376E"/>
    <w:rPr>
      <w:rFonts w:ascii="Times New Roman" w:eastAsia="Times New Roman" w:hAnsi="Times New Roman" w:cs="Times New Roman"/>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omune.montecorice.sa.it/" TargetMode="External"/><Relationship Id="rId4" Type="http://schemas.openxmlformats.org/officeDocument/2006/relationships/settings" Target="settings.xml"/><Relationship Id="rId9" Type="http://schemas.openxmlformats.org/officeDocument/2006/relationships/hyperlink" Target="mailto:llpp.montecorice@asmepec.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E8E1B-2589-40F3-B4A0-8E7970272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4001</Words>
  <Characters>22810</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Utente</cp:lastModifiedBy>
  <cp:revision>11</cp:revision>
  <cp:lastPrinted>2023-12-13T08:59:00Z</cp:lastPrinted>
  <dcterms:created xsi:type="dcterms:W3CDTF">2025-01-09T12:22:00Z</dcterms:created>
  <dcterms:modified xsi:type="dcterms:W3CDTF">2025-02-28T22:38:00Z</dcterms:modified>
  <dc:language>it-IT</dc:language>
</cp:coreProperties>
</file>